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Scheda di sintesi sulla rilevazione degli OIV o organismi con funzioni analoghe</w:t>
      </w:r>
    </w:p>
    <w:p>
      <w:pPr>
        <w:pStyle w:val="ListParagraph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276"/>
        <w:ind w:left="0" w:hanging="0"/>
        <w:rPr>
          <w:rFonts w:ascii="Titillium" w:hAnsi="Titillium" w:eastAsia="Times New Roman" w:cs="Cambria"/>
          <w:sz w:val="20"/>
          <w:szCs w:val="20"/>
          <w:lang w:eastAsia="ar-SA"/>
        </w:rPr>
      </w:pPr>
      <w:r>
        <w:rPr>
          <w:rFonts w:eastAsia="Times New Roman" w:cs="Cambria" w:ascii="Titillium" w:hAnsi="Titillium"/>
          <w:sz w:val="20"/>
          <w:szCs w:val="20"/>
          <w:lang w:eastAsia="ar-SA"/>
        </w:rPr>
        <w:t>La rilevazione è iniziata il giorno 06/06/2022 e si è conclusa il giorno 13/06/2022.</w:t>
      </w:r>
    </w:p>
    <w:p>
      <w:pPr>
        <w:pStyle w:val="ListParagraph"/>
        <w:spacing w:lineRule="auto" w:line="276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before="0" w:after="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>
      <w:pPr>
        <w:pStyle w:val="ListParagraph"/>
        <w:spacing w:before="0" w:after="0"/>
        <w:ind w:left="0" w:hanging="0"/>
        <w:rPr>
          <w:rFonts w:ascii="Titillium" w:hAnsi="Titillium"/>
          <w:b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</w:r>
    </w:p>
    <w:p>
      <w:pPr>
        <w:pStyle w:val="ListParagraph"/>
        <w:spacing w:lineRule="auto" w:line="360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Società non detiene uffici periferici.</w:t>
      </w:r>
    </w:p>
    <w:p>
      <w:pPr>
        <w:pStyle w:val="ListParagraph"/>
        <w:spacing w:lineRule="auto" w:line="360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spacing w:lineRule="auto" w:line="360"/>
        <w:ind w:left="0" w:hanging="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>
      <w:pPr>
        <w:pStyle w:val="ListParagraph"/>
        <w:spacing w:lineRule="auto" w:line="360" w:before="0" w:after="0"/>
        <w:ind w:left="0" w:hanging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>
      <w:pPr>
        <w:pStyle w:val="Default"/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verifica dell’attività degli uffici </w:t>
      </w:r>
      <w:r>
        <w:rPr>
          <w:rFonts w:eastAsia="Calibri" w:cs="Times New Roman" w:ascii="Titillium" w:hAnsi="Titillium"/>
          <w:color w:val="000000"/>
          <w:sz w:val="20"/>
          <w:szCs w:val="20"/>
          <w:lang w:eastAsia="en-US"/>
        </w:rPr>
        <w:t>in relazione agli adempimenti agli obblighi di pubblicazione;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eastAsia="Calibri" w:cs="Times New Roman" w:ascii="Titillium" w:hAnsi="Titillium"/>
          <w:color w:val="000000"/>
          <w:sz w:val="20"/>
          <w:szCs w:val="20"/>
          <w:lang w:eastAsia="en-US"/>
        </w:rPr>
        <w:t>ricerca ed esame della documentazione a completamento dei</w:t>
      </w:r>
      <w:r>
        <w:rPr>
          <w:rFonts w:ascii="Titillium" w:hAnsi="Titillium"/>
          <w:sz w:val="20"/>
          <w:szCs w:val="20"/>
        </w:rPr>
        <w:t xml:space="preserve"> dati oggetto di attestazione;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colloqui </w:t>
      </w:r>
      <w:r>
        <w:rPr>
          <w:rFonts w:eastAsia="Calibri" w:cs="Times New Roman" w:ascii="Titillium" w:hAnsi="Titillium"/>
          <w:color w:val="000000"/>
          <w:sz w:val="20"/>
          <w:szCs w:val="20"/>
          <w:lang w:eastAsia="en-US"/>
        </w:rPr>
        <w:t>con gli addetti a</w:t>
      </w:r>
      <w:r>
        <w:rPr>
          <w:rFonts w:ascii="Titillium" w:hAnsi="Titillium"/>
          <w:sz w:val="20"/>
          <w:szCs w:val="20"/>
        </w:rPr>
        <w:t>lla trasmissione dei dati;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</w:t>
      </w:r>
      <w:r>
        <w:rPr>
          <w:rFonts w:eastAsia="Calibri" w:cs="Times New Roman" w:ascii="Titillium" w:hAnsi="Titillium"/>
          <w:color w:val="000000"/>
          <w:sz w:val="20"/>
          <w:szCs w:val="20"/>
          <w:lang w:eastAsia="en-US"/>
        </w:rPr>
        <w:t>he</w:t>
      </w:r>
      <w:r>
        <w:rPr>
          <w:rFonts w:ascii="Titillium" w:hAnsi="Titillium"/>
          <w:sz w:val="20"/>
          <w:szCs w:val="20"/>
        </w:rPr>
        <w:t xml:space="preserve"> sul sito istituzionale.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>
      <w:pPr>
        <w:pStyle w:val="Default"/>
        <w:tabs>
          <w:tab w:val="clear" w:pos="708"/>
          <w:tab w:val="left" w:pos="0" w:leader="none"/>
        </w:tabs>
        <w:spacing w:lineRule="auto" w:line="360"/>
        <w:jc w:val="both"/>
        <w:rPr>
          <w:rFonts w:ascii="Titillium" w:hAnsi="Titillium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Calibri" w:cs="Times New Roman" w:ascii="Titillium" w:hAnsi="Titillium"/>
          <w:b w:val="false"/>
          <w:bCs w:val="false"/>
          <w:color w:val="000000"/>
          <w:sz w:val="20"/>
          <w:szCs w:val="20"/>
          <w:u w:val="none"/>
          <w:lang w:eastAsia="en-US"/>
        </w:rPr>
        <w:t>Si riscontra che non sono del tutto risolte le criticità in relazione alle tempistiche di aggiornamento e alla trasmissione dei dati.</w:t>
      </w:r>
    </w:p>
    <w:p>
      <w:pPr>
        <w:pStyle w:val="Normal"/>
        <w:spacing w:lineRule="auto" w:line="360"/>
        <w:rPr>
          <w:rFonts w:ascii="Titillium" w:hAnsi="Titillium"/>
          <w:b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Titillium" w:hAnsi="Titillium"/>
          <w:b/>
          <w:b/>
          <w:i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Eventuale documentazione da allegare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Cambria" w:ascii="Titillium" w:hAnsi="Titillium"/>
          <w:b w:val="false"/>
          <w:bCs w:val="false"/>
          <w:i w:val="false"/>
          <w:iCs w:val="false"/>
          <w:sz w:val="20"/>
          <w:szCs w:val="20"/>
          <w:lang w:eastAsia="ar-SA"/>
        </w:rPr>
        <w:t>N</w:t>
      </w:r>
      <w:r>
        <w:rPr>
          <w:rFonts w:ascii="Titillium" w:hAnsi="Titillium"/>
          <w:b w:val="false"/>
          <w:bCs w:val="false"/>
          <w:i w:val="false"/>
          <w:iCs w:val="false"/>
          <w:sz w:val="20"/>
          <w:szCs w:val="20"/>
        </w:rPr>
        <w:t>essun allegato.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tillium" w:hAnsi="Titillium"/>
          <w:b w:val="false"/>
          <w:bCs w:val="false"/>
          <w:i w:val="false"/>
          <w:iCs w:val="false"/>
          <w:sz w:val="20"/>
          <w:szCs w:val="20"/>
        </w:rPr>
        <w:t>Vicenza 13.06.2022</w:t>
      </w:r>
    </w:p>
    <w:p>
      <w:pPr>
        <w:pStyle w:val="Normal"/>
        <w:spacing w:lineRule="auto" w:line="36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Normal"/>
        <w:keepNext w:val="true"/>
        <w:widowControl w:val="false"/>
        <w:suppressAutoHyphens w:val="true"/>
        <w:bidi w:val="0"/>
        <w:spacing w:lineRule="auto" w:line="360" w:before="0" w:after="120"/>
        <w:ind w:left="5669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tillium" w:hAnsi="Titillium"/>
          <w:b w:val="false"/>
          <w:bCs w:val="false"/>
          <w:i w:val="false"/>
          <w:iCs w:val="false"/>
          <w:sz w:val="20"/>
          <w:szCs w:val="20"/>
        </w:rPr>
        <w:t>Il RTPC</w:t>
      </w:r>
    </w:p>
    <w:p>
      <w:pPr>
        <w:pStyle w:val="Normal"/>
        <w:widowControl w:val="false"/>
        <w:suppressAutoHyphens w:val="true"/>
        <w:bidi w:val="0"/>
        <w:spacing w:lineRule="auto" w:line="360" w:before="0" w:after="120"/>
        <w:ind w:left="5669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tillium" w:hAnsi="Titillium"/>
          <w:b w:val="false"/>
          <w:bCs w:val="false"/>
          <w:i w:val="false"/>
          <w:iCs w:val="false"/>
          <w:sz w:val="20"/>
          <w:szCs w:val="20"/>
        </w:rPr>
        <w:t>di Vi.abilità S.R.L.</w:t>
      </w:r>
    </w:p>
    <w:p>
      <w:pPr>
        <w:pStyle w:val="Normal"/>
        <w:widowControl w:val="false"/>
        <w:suppressAutoHyphens w:val="true"/>
        <w:bidi w:val="0"/>
        <w:spacing w:lineRule="auto" w:line="360" w:before="0" w:after="120"/>
        <w:ind w:left="5669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tillium" w:hAnsi="Titillium"/>
          <w:b w:val="false"/>
          <w:bCs w:val="false"/>
          <w:i w:val="false"/>
          <w:iCs w:val="false"/>
          <w:sz w:val="20"/>
          <w:szCs w:val="20"/>
        </w:rPr>
        <w:t xml:space="preserve">arch. Laura Cazzanello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"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/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/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/>
    </w:r>
  </w:p>
  <w:p>
    <w:pPr>
      <w:pStyle w:val="Intestazione"/>
      <w:tabs>
        <w:tab w:val="left" w:pos="3878" w:leader="none"/>
        <w:tab w:val="center" w:pos="4819" w:leader="none"/>
        <w:tab w:val="right" w:pos="9638" w:leader="none"/>
      </w:tabs>
      <w:rPr>
        <w:rFonts w:ascii="Garamond" w:hAnsi="Garamond"/>
        <w:b/>
        <w:b/>
      </w:rPr>
    </w:pPr>
    <w:r>
      <w:rPr>
        <w:rFonts w:ascii="Garamond" w:hAnsi="Garamond"/>
        <w:b/>
      </w:rPr>
      <w:tab/>
      <w:tab/>
    </w:r>
  </w:p>
  <w:p>
    <w:pPr>
      <w:pStyle w:val="Intestazione"/>
      <w:jc w:val="right"/>
      <w:rPr>
        <w:rFonts w:ascii="Titillium" w:hAnsi="Titillium" w:cs="Times New Roman"/>
        <w:b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Documento di cui all’Allegato 3 alla </w:t>
    </w:r>
    <w:r>
      <w:rPr>
        <w:rFonts w:cs="Times New Roman" w:ascii="Titillium" w:hAnsi="Titillium"/>
        <w:b/>
        <w:sz w:val="20"/>
        <w:szCs w:val="20"/>
      </w:rPr>
      <w:t>delibera ANAC n. 201</w:t>
    </w:r>
    <w:bookmarkStart w:id="0" w:name="_GoBack"/>
    <w:bookmarkEnd w:id="0"/>
    <w:r>
      <w:rPr>
        <w:rFonts w:cs="Times New Roman" w:ascii="Titillium" w:hAnsi="Titillium"/>
        <w:b/>
        <w:sz w:val="20"/>
        <w:szCs w:val="20"/>
      </w:rPr>
      <w:t>/2022</w:t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LibreOffice/7.1.3.2$Windows_X86_64 LibreOffice_project/47f78053abe362b9384784d31a6e56f8511eb1c1</Application>
  <AppVersion>15.0000</AppVersion>
  <Pages>1</Pages>
  <Words>178</Words>
  <Characters>1069</Characters>
  <CharactersWithSpaces>1303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2018-02-28T15:30:00Z</cp:lastPrinted>
  <dcterms:modified xsi:type="dcterms:W3CDTF">2022-06-13T16:47:19Z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