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36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</w:r>
    </w:p>
    <w:p>
      <w:pPr>
        <w:pStyle w:val="Normal"/>
        <w:spacing w:lineRule="exact" w:line="320" w:before="120" w:after="360"/>
        <w:jc w:val="center"/>
        <w:rPr/>
      </w:pPr>
      <w:r>
        <w:rPr>
          <w:rFonts w:cs="Times New Roman" w:ascii="Garamond" w:hAnsi="Garamond"/>
          <w:b/>
          <w:bCs/>
        </w:rPr>
        <w:t>Allegato 1.2 alla delibera ANAC n. 2</w:t>
      </w:r>
      <w:r>
        <w:rPr>
          <w:rFonts w:eastAsia="Times New Roman" w:cs="Times New Roman" w:ascii="Garamond" w:hAnsi="Garamond"/>
          <w:b/>
          <w:bCs/>
          <w:color w:val="auto"/>
          <w:kern w:val="0"/>
          <w:sz w:val="24"/>
          <w:szCs w:val="24"/>
          <w:lang w:val="it-IT" w:eastAsia="ar-SA" w:bidi="ar-SA"/>
        </w:rPr>
        <w:t>94</w:t>
      </w:r>
      <w:r>
        <w:rPr>
          <w:rFonts w:cs="Times New Roman" w:ascii="Garamond" w:hAnsi="Garamond"/>
          <w:b/>
          <w:bCs/>
        </w:rPr>
        <w:t>/202</w:t>
      </w:r>
      <w:r>
        <w:rPr>
          <w:rFonts w:eastAsia="Times New Roman" w:cs="Times New Roman" w:ascii="Garamond" w:hAnsi="Garamond"/>
          <w:b/>
          <w:bCs/>
          <w:color w:val="auto"/>
          <w:kern w:val="0"/>
          <w:sz w:val="24"/>
          <w:szCs w:val="24"/>
          <w:lang w:val="it-IT" w:eastAsia="ar-SA" w:bidi="ar-SA"/>
        </w:rPr>
        <w:t>1</w:t>
      </w:r>
      <w:r>
        <w:rPr>
          <w:rFonts w:cs="Times New Roman" w:ascii="Garamond" w:hAnsi="Garamond"/>
          <w:b/>
          <w:bCs/>
        </w:rPr>
        <w:t xml:space="preserve"> </w:t>
      </w:r>
    </w:p>
    <w:p>
      <w:pPr>
        <w:pStyle w:val="Normal"/>
        <w:spacing w:lineRule="exact" w:line="320" w:before="120" w:after="36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/>
      </w:pPr>
      <w:r>
        <w:rPr>
          <w:rFonts w:cs="Times New Roman" w:ascii="Garamond" w:hAnsi="Garamond"/>
        </w:rPr>
        <w:t xml:space="preserve">Il Responsabile della Trasparenza e della Prevenzione della Corruzione di Vi.abilità S.R.L. ha effettuato, alla luce delle </w:t>
      </w:r>
      <w:r>
        <w:rPr>
          <w:rFonts w:cs="Times New Roman" w:ascii="Garamond" w:hAnsi="Garamond"/>
          <w:b/>
        </w:rPr>
        <w:t>delibere ANAC n. 1134/2017 e n. 2</w:t>
      </w:r>
      <w:r>
        <w:rPr>
          <w:rFonts w:eastAsia="Times New Roman" w:cs="Times New Roman" w:ascii="Garamond" w:hAnsi="Garamond"/>
          <w:b/>
          <w:color w:val="auto"/>
          <w:kern w:val="0"/>
          <w:sz w:val="24"/>
          <w:szCs w:val="24"/>
          <w:lang w:val="it-IT" w:eastAsia="ar-SA" w:bidi="ar-SA"/>
        </w:rPr>
        <w:t>94</w:t>
      </w:r>
      <w:r>
        <w:rPr>
          <w:rFonts w:cs="Times New Roman" w:ascii="Garamond" w:hAnsi="Garamond"/>
          <w:b/>
        </w:rPr>
        <w:t>/202</w:t>
      </w:r>
      <w:r>
        <w:rPr>
          <w:rFonts w:eastAsia="Times New Roman" w:cs="Times New Roman" w:ascii="Garamond" w:hAnsi="Garamond"/>
          <w:b/>
          <w:color w:val="auto"/>
          <w:kern w:val="0"/>
          <w:sz w:val="24"/>
          <w:szCs w:val="24"/>
          <w:lang w:val="it-IT" w:eastAsia="ar-SA" w:bidi="ar-SA"/>
        </w:rPr>
        <w:t>1</w:t>
      </w:r>
      <w:r>
        <w:rPr>
          <w:rFonts w:cs="Times New Roman" w:ascii="Garamond" w:hAnsi="Garamond"/>
          <w:b/>
        </w:rPr>
        <w:t xml:space="preserve">, </w:t>
      </w:r>
      <w:r>
        <w:rPr>
          <w:rFonts w:cs="Times New Roman" w:ascii="Garamond" w:hAnsi="Garamond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>
        <w:rPr>
          <w:rFonts w:cs="Times New Roman" w:ascii="Garamond" w:hAnsi="Garamond"/>
          <w:b/>
        </w:rPr>
        <w:t>3</w:t>
      </w:r>
      <w:r>
        <w:rPr>
          <w:rFonts w:eastAsia="Times New Roman" w:cs="Times New Roman" w:ascii="Garamond" w:hAnsi="Garamond"/>
          <w:b/>
          <w:color w:val="auto"/>
          <w:kern w:val="0"/>
          <w:sz w:val="24"/>
          <w:szCs w:val="24"/>
          <w:lang w:val="it-IT" w:eastAsia="ar-SA" w:bidi="ar-SA"/>
        </w:rPr>
        <w:t>1 maggio</w:t>
      </w:r>
      <w:r>
        <w:rPr>
          <w:rFonts w:cs="Times New Roman" w:ascii="Garamond" w:hAnsi="Garamond"/>
          <w:b/>
        </w:rPr>
        <w:t xml:space="preserve"> 2021</w:t>
      </w:r>
      <w:r>
        <w:rPr>
          <w:rFonts w:cs="Times New Roman" w:ascii="Garamond" w:hAnsi="Garamond"/>
        </w:rPr>
        <w:t xml:space="preserve"> della delibera </w:t>
      </w:r>
      <w:r>
        <w:rPr>
          <w:rFonts w:cs="Times New Roman"/>
        </w:rPr>
        <w:t xml:space="preserve">n. </w:t>
      </w:r>
      <w:r>
        <w:rPr>
          <w:rFonts w:cs="Times New Roman" w:ascii="Garamond" w:hAnsi="Garamond"/>
        </w:rPr>
        <w:t>294/2021.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/>
      </w:pPr>
      <w:r>
        <w:rPr>
          <w:rFonts w:cs="Times New Roman" w:ascii="Garamond" w:hAnsi="Garamond"/>
        </w:rPr>
        <w:t>Il RTPC ha svolto gli accertamenti: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hanging="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>
      <w:pPr>
        <w:pStyle w:val="ListParagraph"/>
        <w:spacing w:lineRule="auto" w:line="276" w:before="120" w:after="0"/>
        <w:ind w:left="360" w:hanging="0"/>
        <w:rPr/>
      </w:pPr>
      <w:r>
        <w:rPr>
          <w:rFonts w:cs="Times New Roman" w:ascii="Garamond" w:hAnsi="Garamond"/>
        </w:rPr>
        <w:t>Sulla base di quanto sopra, l’Organismo o il soggetto con funzioni analoghe all’OIV</w:t>
      </w:r>
    </w:p>
    <w:p>
      <w:pPr>
        <w:pStyle w:val="ListParagraph"/>
        <w:spacing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before="120" w:after="36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 CHE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</w:rPr>
        <w:tab/>
      </w:r>
      <w:r>
        <w:rPr>
          <w:rFonts w:ascii="Garamond" w:hAnsi="Garamond"/>
        </w:rPr>
        <w:t>La società ha individuato misure organizzative che assicurano il regolare funzionamento dei flussi informativi per la pubblicazione dei dati nella sezione</w:t>
      </w:r>
      <w:r>
        <w:rPr>
          <w:rFonts w:ascii="Garamond" w:hAnsi="Garamond"/>
          <w:i/>
        </w:rPr>
        <w:t>”Società trasparente”;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</w:rPr>
        <w:tab/>
      </w:r>
      <w:r>
        <w:rPr>
          <w:rFonts w:ascii="Garamond" w:hAnsi="Garamond"/>
        </w:rPr>
        <w:t>La società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spacing w:before="120" w:after="0"/>
        <w:ind w:left="388" w:firstLine="38"/>
        <w:rPr/>
      </w:pPr>
      <w:r>
        <w:rPr>
          <w:rFonts w:ascii="Garamond" w:hAnsi="Garamond"/>
        </w:rPr>
        <w:t xml:space="preserve">□ </w:t>
      </w:r>
      <w:r>
        <w:rPr>
          <w:rFonts w:ascii="Garamond" w:hAnsi="Garamond"/>
        </w:rPr>
        <w:t xml:space="preserve">La società NON ha disposto filtri e/o 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spacing w:before="120" w:after="0"/>
        <w:ind w:left="388" w:firstLine="38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widowControl/>
        <w:spacing w:before="120" w:after="0"/>
        <w:ind w:left="388" w:hanging="0"/>
        <w:jc w:val="center"/>
        <w:rPr/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2.2</w:t>
      </w:r>
      <w:r>
        <w:rPr>
          <w:rFonts w:cs="Times New Roman" w:ascii="Garamond" w:hAnsi="Garamond"/>
          <w:color w:val="FF0000"/>
        </w:rPr>
        <w:t xml:space="preserve"> </w:t>
      </w:r>
      <w:r>
        <w:rPr>
          <w:rFonts w:cs="Times New Roman" w:ascii="Garamond" w:hAnsi="Garamond"/>
        </w:rPr>
        <w:t>rispetto a quanto pubblicat</w:t>
      </w:r>
      <w:r>
        <w:rPr>
          <w:rFonts w:ascii="Garamond" w:hAnsi="Garamond"/>
        </w:rPr>
        <w:t>o sul sito della società.</w:t>
      </w:r>
    </w:p>
    <w:p>
      <w:pPr>
        <w:pStyle w:val="ListParagraph"/>
        <w:widowControl/>
        <w:spacing w:before="120" w:after="0"/>
        <w:ind w:left="388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ListParagraph"/>
        <w:spacing w:before="120" w:after="0"/>
        <w:ind w:left="388" w:firstLine="38"/>
        <w:rPr/>
      </w:pPr>
      <w:r>
        <w:rPr>
          <w:rFonts w:ascii="Garamond" w:hAnsi="Garamond"/>
        </w:rPr>
        <w:t>18/0</w:t>
      </w:r>
      <w:r>
        <w:rPr>
          <w:rFonts w:eastAsia="Times New Roman" w:cs="Cambria" w:ascii="Garamond" w:hAnsi="Garamond"/>
          <w:color w:val="auto"/>
          <w:kern w:val="0"/>
          <w:sz w:val="24"/>
          <w:szCs w:val="24"/>
          <w:lang w:val="it-IT" w:eastAsia="ar-SA" w:bidi="ar-SA"/>
        </w:rPr>
        <w:t>6</w:t>
      </w:r>
      <w:r>
        <w:rPr>
          <w:rFonts w:ascii="Garamond" w:hAnsi="Garamond"/>
        </w:rPr>
        <w:t>/202</w:t>
      </w:r>
      <w:r>
        <w:rPr>
          <w:rFonts w:eastAsia="Times New Roman" w:cs="Cambria" w:ascii="Garamond" w:hAnsi="Garamond"/>
          <w:color w:val="auto"/>
          <w:kern w:val="0"/>
          <w:sz w:val="24"/>
          <w:szCs w:val="24"/>
          <w:lang w:val="it-IT" w:eastAsia="ar-SA" w:bidi="ar-SA"/>
        </w:rPr>
        <w:t>1</w:t>
      </w:r>
    </w:p>
    <w:p>
      <w:pPr>
        <w:pStyle w:val="ListParagraph"/>
        <w:spacing w:before="120" w:after="0"/>
        <w:ind w:left="388" w:firstLine="38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120" w:after="0"/>
        <w:ind w:left="388" w:firstLine="38"/>
        <w:jc w:val="right"/>
        <w:rPr/>
      </w:pPr>
      <w:r>
        <w:rPr>
          <w:rFonts w:ascii="Garamond" w:hAnsi="Garamond"/>
        </w:rPr>
        <w:t>Il  RTPC</w:t>
      </w:r>
    </w:p>
    <w:p>
      <w:pPr>
        <w:pStyle w:val="ListParagraph"/>
        <w:spacing w:before="120" w:after="0"/>
        <w:ind w:left="388" w:firstLine="38"/>
        <w:jc w:val="right"/>
        <w:rPr/>
      </w:pPr>
      <w:r>
        <w:rPr>
          <w:rFonts w:ascii="Garamond" w:hAnsi="Garamond"/>
        </w:rPr>
        <w:t>di Vi.abilità S.R.L.</w:t>
      </w:r>
    </w:p>
    <w:p>
      <w:pPr>
        <w:pStyle w:val="ListParagraph"/>
        <w:spacing w:lineRule="exact" w:line="320" w:before="120" w:after="0"/>
        <w:ind w:left="388" w:firstLine="38"/>
        <w:jc w:val="right"/>
        <w:rPr/>
      </w:pPr>
      <w:r>
        <w:rPr>
          <w:rFonts w:cs="Times New Roman" w:ascii="Garamond" w:hAnsi="Garamond"/>
        </w:rPr>
        <w:t>arch. Laura Cazzanello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spacing w:before="0" w:after="120"/>
        <w:rPr/>
      </w:pPr>
      <w:r>
        <w:rPr>
          <w:rStyle w:val="Caratterinotaapidipagina"/>
        </w:rPr>
        <w:footnoteRef/>
      </w:r>
      <w:r>
        <w:rPr>
          <w:rFonts w:ascii="Garamond" w:hAnsi="Garamond"/>
          <w:sz w:val="18"/>
          <w:szCs w:val="18"/>
        </w:rPr>
        <w:tab/>
        <w:t>Il concetto di veridicità è inteso qui come conformità tra quanto rilevato dall’OIV/altro organismo con funzioni analoghe nell’Allegato 2.2 e quanto pubblicato sul sito istituzionale al momento dell’attestazione.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3"/>
      <w:vertAlign w:val="superscript"/>
    </w:rPr>
  </w:style>
  <w:style w:type="character" w:styleId="FootnoteCharacters">
    <w:name w:val="Footnote Characters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F963-DD45-40AC-B2BD-B5DE6DAF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LibreOffice/7.1.3.2$Windows_X86_64 LibreOffice_project/47f78053abe362b9384784d31a6e56f8511eb1c1</Application>
  <AppVersion>15.0000</AppVersion>
  <Pages>1</Pages>
  <Words>273</Words>
  <Characters>1659</Characters>
  <CharactersWithSpaces>1917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2018-03-01T16:18:00Z</dcterms:created>
  <dc:creator>Rossella Picicci</dc:creator>
  <dc:description/>
  <dc:language>it-IT</dc:language>
  <cp:lastModifiedBy/>
  <dcterms:modified xsi:type="dcterms:W3CDTF">2021-06-17T16:16:20Z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